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4724" w:rsidRDefault="00FF4724" w:rsidP="00466EDA">
      <w:pPr>
        <w:jc w:val="center"/>
        <w:rPr>
          <w:b/>
          <w:color w:val="EA1926"/>
        </w:rPr>
      </w:pPr>
      <w:proofErr w:type="spellStart"/>
      <w:r w:rsidRPr="00466EDA">
        <w:rPr>
          <w:b/>
          <w:color w:val="EA1926"/>
        </w:rPr>
        <w:t>Pohela</w:t>
      </w:r>
      <w:proofErr w:type="spellEnd"/>
      <w:r w:rsidRPr="00466EDA">
        <w:rPr>
          <w:b/>
          <w:color w:val="EA1926"/>
        </w:rPr>
        <w:t xml:space="preserve"> </w:t>
      </w:r>
      <w:proofErr w:type="spellStart"/>
      <w:r w:rsidRPr="00466EDA">
        <w:rPr>
          <w:b/>
          <w:color w:val="EA1926"/>
        </w:rPr>
        <w:t>Boishakh</w:t>
      </w:r>
      <w:proofErr w:type="spellEnd"/>
      <w:r w:rsidRPr="00466EDA">
        <w:rPr>
          <w:b/>
          <w:color w:val="EA1926"/>
        </w:rPr>
        <w:t xml:space="preserve"> Parade Owl</w:t>
      </w:r>
    </w:p>
    <w:p w:rsidR="00466EDA" w:rsidRPr="00466EDA" w:rsidRDefault="00466EDA" w:rsidP="00466EDA">
      <w:pPr>
        <w:jc w:val="center"/>
        <w:rPr>
          <w:b/>
          <w:color w:val="EA1926"/>
        </w:rPr>
      </w:pPr>
    </w:p>
    <w:p w:rsidR="00FF4724" w:rsidRPr="00FF4724" w:rsidRDefault="00FF4724" w:rsidP="00FF4724">
      <w:pPr>
        <w:jc w:val="center"/>
        <w:rPr>
          <w:b/>
          <w:color w:val="EA1926"/>
          <w:sz w:val="36"/>
          <w:szCs w:val="36"/>
        </w:rPr>
      </w:pPr>
      <w:r>
        <w:rPr>
          <w:b/>
          <w:noProof/>
          <w:color w:val="EA1926"/>
          <w:sz w:val="36"/>
          <w:szCs w:val="36"/>
        </w:rPr>
        <w:drawing>
          <wp:inline distT="0" distB="0" distL="0" distR="0">
            <wp:extent cx="3695628" cy="3182799"/>
            <wp:effectExtent l="50800" t="50800" r="38735" b="431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97040" cy="3184015"/>
                    </a:xfrm>
                    <a:prstGeom prst="rect">
                      <a:avLst/>
                    </a:prstGeom>
                    <a:noFill/>
                    <a:ln w="57150" cmpd="sng">
                      <a:solidFill>
                        <a:srgbClr val="F72628"/>
                      </a:solidFill>
                    </a:ln>
                  </pic:spPr>
                </pic:pic>
              </a:graphicData>
            </a:graphic>
          </wp:inline>
        </w:drawing>
      </w:r>
    </w:p>
    <w:p w:rsidR="00FF4724" w:rsidRPr="00FF4724" w:rsidRDefault="00FF4724" w:rsidP="00FF4724">
      <w:pPr>
        <w:jc w:val="center"/>
        <w:rPr>
          <w:color w:val="EA1926"/>
        </w:rPr>
      </w:pPr>
    </w:p>
    <w:p w:rsidR="00FF4724" w:rsidRDefault="00FF4724" w:rsidP="00FF4724">
      <w:pPr>
        <w:rPr>
          <w:rFonts w:ascii="Quattrocento" w:hAnsi="Quattrocento" w:cs="Quattrocento"/>
          <w:color w:val="EA1926"/>
        </w:rPr>
      </w:pPr>
      <w:r w:rsidRPr="00466EDA">
        <w:rPr>
          <w:rFonts w:ascii="Quattrocento" w:hAnsi="Quattrocento" w:cs="Quattrocento"/>
          <w:color w:val="EA1926"/>
        </w:rPr>
        <w:t xml:space="preserve">The </w:t>
      </w:r>
      <w:proofErr w:type="spellStart"/>
      <w:r w:rsidRPr="00466EDA">
        <w:rPr>
          <w:rFonts w:ascii="Quattrocento" w:hAnsi="Quattrocento" w:cs="Quattrocento"/>
          <w:color w:val="EA1926"/>
        </w:rPr>
        <w:t>Pohela</w:t>
      </w:r>
      <w:proofErr w:type="spellEnd"/>
      <w:r w:rsidRPr="00466EDA">
        <w:rPr>
          <w:rFonts w:ascii="Quattrocento" w:hAnsi="Quattrocento" w:cs="Quattrocento"/>
          <w:color w:val="EA1926"/>
        </w:rPr>
        <w:t xml:space="preserve"> </w:t>
      </w:r>
      <w:proofErr w:type="spellStart"/>
      <w:r w:rsidRPr="00466EDA">
        <w:rPr>
          <w:rFonts w:ascii="Quattrocento" w:hAnsi="Quattrocento" w:cs="Quattrocento"/>
          <w:color w:val="EA1926"/>
        </w:rPr>
        <w:t>Boishakh</w:t>
      </w:r>
      <w:proofErr w:type="spellEnd"/>
      <w:r w:rsidRPr="00466EDA">
        <w:rPr>
          <w:rFonts w:ascii="Quattrocento" w:hAnsi="Quattrocento" w:cs="Quattrocento"/>
          <w:color w:val="EA1926"/>
        </w:rPr>
        <w:t xml:space="preserve"> festival in Bangladesh is a celebration of the Bengali New Year. Every year, in </w:t>
      </w:r>
      <w:proofErr w:type="spellStart"/>
      <w:r w:rsidRPr="00466EDA">
        <w:rPr>
          <w:rFonts w:ascii="Quattrocento" w:hAnsi="Quattrocento" w:cs="Quattrocento"/>
          <w:color w:val="EA1926"/>
        </w:rPr>
        <w:t>Bengladesh's</w:t>
      </w:r>
      <w:proofErr w:type="spellEnd"/>
      <w:r w:rsidRPr="00466EDA">
        <w:rPr>
          <w:rFonts w:ascii="Quattrocento" w:hAnsi="Quattrocento" w:cs="Quattrocento"/>
          <w:color w:val="EA1926"/>
        </w:rPr>
        <w:t xml:space="preserve"> capital city, Dhaka, the festival takes epic proportions! The day begins at dawn, with readings of Rabindranath Tagore's poetry. Later, there is the </w:t>
      </w:r>
      <w:proofErr w:type="spellStart"/>
      <w:r w:rsidRPr="00466EDA">
        <w:rPr>
          <w:rFonts w:ascii="Quattrocento" w:hAnsi="Quattrocento" w:cs="Quattrocento"/>
          <w:color w:val="EA1926"/>
        </w:rPr>
        <w:t>Mangol</w:t>
      </w:r>
      <w:proofErr w:type="spellEnd"/>
      <w:r w:rsidRPr="00466EDA">
        <w:rPr>
          <w:rFonts w:ascii="Quattrocento" w:hAnsi="Quattrocento" w:cs="Quattrocento"/>
          <w:color w:val="EA1926"/>
        </w:rPr>
        <w:t xml:space="preserve"> </w:t>
      </w:r>
      <w:proofErr w:type="spellStart"/>
      <w:r w:rsidRPr="00466EDA">
        <w:rPr>
          <w:rFonts w:ascii="Quattrocento" w:hAnsi="Quattrocento" w:cs="Quattrocento"/>
          <w:color w:val="EA1926"/>
        </w:rPr>
        <w:t>Shobhajatra</w:t>
      </w:r>
      <w:proofErr w:type="spellEnd"/>
      <w:r w:rsidRPr="00466EDA">
        <w:rPr>
          <w:rFonts w:ascii="Quattrocento" w:hAnsi="Quattrocento" w:cs="Quattrocento"/>
          <w:color w:val="EA1926"/>
        </w:rPr>
        <w:t xml:space="preserve">, </w:t>
      </w:r>
      <w:proofErr w:type="gramStart"/>
      <w:r w:rsidRPr="00466EDA">
        <w:rPr>
          <w:rFonts w:ascii="Quattrocento" w:hAnsi="Quattrocento" w:cs="Quattrocento"/>
          <w:color w:val="EA1926"/>
        </w:rPr>
        <w:t>a  parade</w:t>
      </w:r>
      <w:proofErr w:type="gramEnd"/>
      <w:r w:rsidRPr="00466EDA">
        <w:rPr>
          <w:rFonts w:ascii="Quattrocento" w:hAnsi="Quattrocento" w:cs="Quattrocento"/>
          <w:color w:val="EA1926"/>
        </w:rPr>
        <w:t xml:space="preserve"> </w:t>
      </w:r>
      <w:proofErr w:type="spellStart"/>
      <w:r w:rsidRPr="00466EDA">
        <w:rPr>
          <w:rFonts w:ascii="Quattrocento" w:hAnsi="Quattrocento" w:cs="Quattrocento"/>
          <w:color w:val="EA1926"/>
        </w:rPr>
        <w:t>organised</w:t>
      </w:r>
      <w:proofErr w:type="spellEnd"/>
      <w:r w:rsidRPr="00466EDA">
        <w:rPr>
          <w:rFonts w:ascii="Quattrocento" w:hAnsi="Quattrocento" w:cs="Quattrocento"/>
          <w:color w:val="EA1926"/>
        </w:rPr>
        <w:t xml:space="preserve"> by the Fine Arts students of the </w:t>
      </w:r>
      <w:proofErr w:type="spellStart"/>
      <w:r w:rsidRPr="00466EDA">
        <w:rPr>
          <w:rFonts w:ascii="Quattrocento" w:hAnsi="Quattrocento" w:cs="Quattrocento"/>
          <w:color w:val="EA1926"/>
        </w:rPr>
        <w:t>Univeristy</w:t>
      </w:r>
      <w:proofErr w:type="spellEnd"/>
      <w:r w:rsidRPr="00466EDA">
        <w:rPr>
          <w:rFonts w:ascii="Quattrocento" w:hAnsi="Quattrocento" w:cs="Quattrocento"/>
          <w:color w:val="EA1926"/>
        </w:rPr>
        <w:t xml:space="preserve"> of Dhaka. The parade is nothing short of spectacular, as the students and faculty create large, colorful works of art featuring a number of folklore related motifs and designs, including giant sculptures of fanciful creatures. Every year, the parade has a special theme. In 2015, the theme had to do with overcoming ignorance and moving boldly into a bright future. </w:t>
      </w:r>
    </w:p>
    <w:p w:rsidR="00466EDA" w:rsidRDefault="00466EDA" w:rsidP="00FF4724">
      <w:pPr>
        <w:rPr>
          <w:rFonts w:ascii="Quattrocento" w:hAnsi="Quattrocento" w:cs="Quattrocento"/>
          <w:color w:val="EA1926"/>
        </w:rPr>
      </w:pPr>
    </w:p>
    <w:p w:rsidR="00466EDA" w:rsidRDefault="00466EDA" w:rsidP="00466EDA">
      <w:pPr>
        <w:jc w:val="center"/>
        <w:rPr>
          <w:rFonts w:ascii="Quattrocento" w:hAnsi="Quattrocento" w:cs="Quattrocento"/>
          <w:color w:val="EA1926"/>
        </w:rPr>
      </w:pPr>
      <w:r w:rsidRPr="00466EDA">
        <w:rPr>
          <w:rFonts w:ascii="Quattrocento" w:hAnsi="Quattrocento" w:cs="Quattrocento"/>
          <w:color w:val="EA1926"/>
          <w:sz w:val="30"/>
          <w:szCs w:val="30"/>
        </w:rPr>
        <w:drawing>
          <wp:inline distT="0" distB="0" distL="0" distR="0" wp14:anchorId="35110897" wp14:editId="69836624">
            <wp:extent cx="4524258" cy="2692400"/>
            <wp:effectExtent l="50800" t="50800" r="48260" b="5080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26751" cy="2693884"/>
                    </a:xfrm>
                    <a:prstGeom prst="rect">
                      <a:avLst/>
                    </a:prstGeom>
                    <a:noFill/>
                    <a:ln w="57150" cmpd="sng">
                      <a:solidFill>
                        <a:srgbClr val="F72628"/>
                      </a:solidFill>
                    </a:ln>
                  </pic:spPr>
                </pic:pic>
              </a:graphicData>
            </a:graphic>
          </wp:inline>
        </w:drawing>
      </w:r>
    </w:p>
    <w:p w:rsidR="00466EDA" w:rsidRPr="00466EDA" w:rsidRDefault="00466EDA" w:rsidP="00466EDA">
      <w:pPr>
        <w:jc w:val="center"/>
        <w:rPr>
          <w:rFonts w:ascii="Quattrocento" w:hAnsi="Quattrocento" w:cs="Quattrocento"/>
          <w:color w:val="EA1926"/>
        </w:rPr>
      </w:pPr>
    </w:p>
    <w:p w:rsidR="00FF4724" w:rsidRDefault="00FF4724" w:rsidP="00466EDA">
      <w:pPr>
        <w:rPr>
          <w:color w:val="E1001D"/>
        </w:rPr>
      </w:pPr>
    </w:p>
    <w:p w:rsidR="00FF4724" w:rsidRDefault="00FF4724" w:rsidP="00FF4724">
      <w:pPr>
        <w:rPr>
          <w:color w:val="E1001D"/>
        </w:rPr>
      </w:pPr>
      <w:r>
        <w:rPr>
          <w:color w:val="E1001D"/>
        </w:rPr>
        <w:t xml:space="preserve">This craft is very relaxed and </w:t>
      </w:r>
      <w:proofErr w:type="gramStart"/>
      <w:r>
        <w:rPr>
          <w:color w:val="E1001D"/>
        </w:rPr>
        <w:t>free-form</w:t>
      </w:r>
      <w:proofErr w:type="gramEnd"/>
      <w:r>
        <w:rPr>
          <w:color w:val="E1001D"/>
        </w:rPr>
        <w:t xml:space="preserve">. The colors can be whatever strikes your fancy, and don’t worry about cutting out perfect shapes or sizes. We are just trying </w:t>
      </w:r>
      <w:r w:rsidR="00466EDA">
        <w:rPr>
          <w:color w:val="E1001D"/>
        </w:rPr>
        <w:t>to capture the bright colors, 3-D</w:t>
      </w:r>
      <w:r>
        <w:rPr>
          <w:color w:val="E1001D"/>
        </w:rPr>
        <w:t xml:space="preserve"> quality, and portability.</w:t>
      </w:r>
    </w:p>
    <w:p w:rsidR="00FF4724" w:rsidRDefault="00FF4724" w:rsidP="00FF4724">
      <w:pPr>
        <w:rPr>
          <w:color w:val="E1001D"/>
        </w:rPr>
      </w:pPr>
    </w:p>
    <w:p w:rsidR="00266CB5" w:rsidRDefault="00FF4724">
      <w:pPr>
        <w:rPr>
          <w:color w:val="E1001D"/>
        </w:rPr>
      </w:pPr>
      <w:r w:rsidRPr="00FF4724">
        <w:rPr>
          <w:color w:val="E1001D"/>
        </w:rPr>
        <w:t xml:space="preserve">Here’s </w:t>
      </w:r>
      <w:proofErr w:type="gramStart"/>
      <w:r w:rsidRPr="00FF4724">
        <w:rPr>
          <w:color w:val="E1001D"/>
        </w:rPr>
        <w:t>What</w:t>
      </w:r>
      <w:proofErr w:type="gramEnd"/>
      <w:r w:rsidRPr="00FF4724">
        <w:rPr>
          <w:color w:val="E1001D"/>
        </w:rPr>
        <w:t xml:space="preserve"> you Need</w:t>
      </w:r>
      <w:r w:rsidR="00466EDA">
        <w:rPr>
          <w:color w:val="E1001D"/>
        </w:rPr>
        <w:t xml:space="preserve"> to Create the Example</w:t>
      </w:r>
      <w:r w:rsidRPr="00FF4724">
        <w:rPr>
          <w:color w:val="E1001D"/>
        </w:rPr>
        <w:t>:</w:t>
      </w:r>
    </w:p>
    <w:p w:rsidR="00FF4724" w:rsidRDefault="00FF4724">
      <w:pPr>
        <w:rPr>
          <w:color w:val="E1001D"/>
        </w:rPr>
      </w:pPr>
    </w:p>
    <w:p w:rsidR="00FF4724" w:rsidRDefault="00FF4724">
      <w:pPr>
        <w:rPr>
          <w:color w:val="E1001D"/>
        </w:rPr>
      </w:pPr>
      <w:r>
        <w:rPr>
          <w:color w:val="E1001D"/>
        </w:rPr>
        <w:t>Construction Paper in Several Colors:</w:t>
      </w:r>
    </w:p>
    <w:p w:rsidR="00FF4724" w:rsidRDefault="00FF4724">
      <w:pPr>
        <w:rPr>
          <w:color w:val="E1001D"/>
        </w:rPr>
      </w:pPr>
      <w:r>
        <w:rPr>
          <w:color w:val="E1001D"/>
        </w:rPr>
        <w:tab/>
        <w:t>Black-</w:t>
      </w:r>
      <w:r w:rsidR="00466EDA">
        <w:rPr>
          <w:color w:val="E1001D"/>
        </w:rPr>
        <w:t>two</w:t>
      </w:r>
      <w:r>
        <w:rPr>
          <w:color w:val="E1001D"/>
        </w:rPr>
        <w:t xml:space="preserve"> piece</w:t>
      </w:r>
      <w:r w:rsidR="00466EDA">
        <w:rPr>
          <w:color w:val="E1001D"/>
        </w:rPr>
        <w:t>s</w:t>
      </w:r>
    </w:p>
    <w:p w:rsidR="00FF4724" w:rsidRDefault="00FF4724">
      <w:pPr>
        <w:rPr>
          <w:color w:val="E1001D"/>
        </w:rPr>
      </w:pPr>
      <w:r>
        <w:rPr>
          <w:color w:val="E1001D"/>
        </w:rPr>
        <w:tab/>
        <w:t>Yellow-one piece</w:t>
      </w:r>
    </w:p>
    <w:p w:rsidR="00FF4724" w:rsidRDefault="00FF4724">
      <w:pPr>
        <w:rPr>
          <w:color w:val="E1001D"/>
        </w:rPr>
      </w:pPr>
      <w:r>
        <w:rPr>
          <w:color w:val="E1001D"/>
        </w:rPr>
        <w:tab/>
        <w:t>Blue-one piece</w:t>
      </w:r>
    </w:p>
    <w:p w:rsidR="00FF4724" w:rsidRDefault="00FF4724">
      <w:pPr>
        <w:rPr>
          <w:color w:val="E1001D"/>
        </w:rPr>
      </w:pPr>
      <w:r>
        <w:rPr>
          <w:color w:val="E1001D"/>
        </w:rPr>
        <w:tab/>
        <w:t>White-one piece</w:t>
      </w:r>
    </w:p>
    <w:p w:rsidR="00FF4724" w:rsidRDefault="00FF4724">
      <w:pPr>
        <w:rPr>
          <w:color w:val="E1001D"/>
        </w:rPr>
      </w:pPr>
      <w:r>
        <w:rPr>
          <w:color w:val="E1001D"/>
        </w:rPr>
        <w:tab/>
        <w:t>Green-one piece</w:t>
      </w:r>
    </w:p>
    <w:p w:rsidR="00FF4724" w:rsidRDefault="00FF4724">
      <w:pPr>
        <w:rPr>
          <w:color w:val="E1001D"/>
        </w:rPr>
      </w:pPr>
      <w:r>
        <w:rPr>
          <w:color w:val="E1001D"/>
        </w:rPr>
        <w:tab/>
        <w:t>Orange-one piece</w:t>
      </w:r>
    </w:p>
    <w:p w:rsidR="00FF4724" w:rsidRDefault="00FF4724">
      <w:pPr>
        <w:rPr>
          <w:color w:val="E1001D"/>
        </w:rPr>
      </w:pPr>
      <w:r>
        <w:rPr>
          <w:color w:val="E1001D"/>
        </w:rPr>
        <w:tab/>
      </w:r>
    </w:p>
    <w:p w:rsidR="00466EDA" w:rsidRPr="00466EDA" w:rsidRDefault="00466EDA" w:rsidP="00466EDA">
      <w:pPr>
        <w:pStyle w:val="ListParagraph"/>
        <w:numPr>
          <w:ilvl w:val="0"/>
          <w:numId w:val="1"/>
        </w:numPr>
        <w:rPr>
          <w:color w:val="E1001D"/>
        </w:rPr>
      </w:pPr>
      <w:r w:rsidRPr="00466EDA">
        <w:rPr>
          <w:color w:val="E1001D"/>
        </w:rPr>
        <w:t>Take the black piece of paper and round the edges as shown/</w:t>
      </w:r>
    </w:p>
    <w:p w:rsidR="00466EDA" w:rsidRDefault="00466EDA" w:rsidP="00466EDA">
      <w:pPr>
        <w:pStyle w:val="ListParagraph"/>
        <w:numPr>
          <w:ilvl w:val="0"/>
          <w:numId w:val="1"/>
        </w:numPr>
        <w:rPr>
          <w:color w:val="E1001D"/>
        </w:rPr>
      </w:pPr>
      <w:r>
        <w:rPr>
          <w:color w:val="E1001D"/>
        </w:rPr>
        <w:t>Take the white paper and cut two circles that are about 3” in diameter.</w:t>
      </w:r>
    </w:p>
    <w:p w:rsidR="00466EDA" w:rsidRDefault="00466EDA" w:rsidP="00466EDA">
      <w:pPr>
        <w:pStyle w:val="ListParagraph"/>
        <w:numPr>
          <w:ilvl w:val="0"/>
          <w:numId w:val="1"/>
        </w:numPr>
        <w:rPr>
          <w:color w:val="E1001D"/>
        </w:rPr>
      </w:pPr>
      <w:r>
        <w:rPr>
          <w:color w:val="E1001D"/>
        </w:rPr>
        <w:t>Take the green piece of paper and cut two circles that are about 2 ½ “ in diameter.</w:t>
      </w:r>
    </w:p>
    <w:p w:rsidR="00466EDA" w:rsidRDefault="00466EDA" w:rsidP="00466EDA">
      <w:pPr>
        <w:pStyle w:val="ListParagraph"/>
        <w:numPr>
          <w:ilvl w:val="0"/>
          <w:numId w:val="1"/>
        </w:numPr>
        <w:rPr>
          <w:color w:val="E1001D"/>
        </w:rPr>
      </w:pPr>
      <w:r>
        <w:rPr>
          <w:color w:val="E1001D"/>
        </w:rPr>
        <w:t>Take the yellow paper and cut two circles that are about 2” in diameter</w:t>
      </w:r>
      <w:r w:rsidR="008E27A6">
        <w:rPr>
          <w:color w:val="E1001D"/>
        </w:rPr>
        <w:t>.</w:t>
      </w:r>
    </w:p>
    <w:p w:rsidR="008E27A6" w:rsidRDefault="008E27A6" w:rsidP="00466EDA">
      <w:pPr>
        <w:pStyle w:val="ListParagraph"/>
        <w:numPr>
          <w:ilvl w:val="0"/>
          <w:numId w:val="1"/>
        </w:numPr>
        <w:rPr>
          <w:color w:val="E1001D"/>
        </w:rPr>
      </w:pPr>
      <w:r>
        <w:rPr>
          <w:color w:val="E1001D"/>
        </w:rPr>
        <w:t>Take the black paper and cut two circles that are about 1” in diameter.</w:t>
      </w:r>
    </w:p>
    <w:p w:rsidR="008E27A6" w:rsidRDefault="008E27A6" w:rsidP="00466EDA">
      <w:pPr>
        <w:pStyle w:val="ListParagraph"/>
        <w:numPr>
          <w:ilvl w:val="0"/>
          <w:numId w:val="1"/>
        </w:numPr>
        <w:rPr>
          <w:color w:val="E1001D"/>
        </w:rPr>
      </w:pPr>
      <w:r>
        <w:rPr>
          <w:color w:val="E1001D"/>
        </w:rPr>
        <w:t>Stack the circles and glue the pieces together to create the owl’s eyes, as show.</w:t>
      </w:r>
    </w:p>
    <w:p w:rsidR="008E27A6" w:rsidRDefault="008E27A6" w:rsidP="00466EDA">
      <w:pPr>
        <w:pStyle w:val="ListParagraph"/>
        <w:numPr>
          <w:ilvl w:val="0"/>
          <w:numId w:val="1"/>
        </w:numPr>
        <w:rPr>
          <w:color w:val="E1001D"/>
        </w:rPr>
      </w:pPr>
      <w:r>
        <w:rPr>
          <w:color w:val="E1001D"/>
        </w:rPr>
        <w:t>Take the orange paper and fold it in half. Cut a triangle that is approximately 6” long and 3 from the base to the point.</w:t>
      </w:r>
    </w:p>
    <w:p w:rsidR="008E27A6" w:rsidRDefault="008E27A6" w:rsidP="00466EDA">
      <w:pPr>
        <w:pStyle w:val="ListParagraph"/>
        <w:numPr>
          <w:ilvl w:val="0"/>
          <w:numId w:val="1"/>
        </w:numPr>
        <w:rPr>
          <w:color w:val="E1001D"/>
        </w:rPr>
      </w:pPr>
      <w:r>
        <w:rPr>
          <w:color w:val="E1001D"/>
        </w:rPr>
        <w:t>Take the blue and yellow pieces of paper, and make triangles that are the same length as the orange one, but have graduating depths. Stack the triangles and glue them together</w:t>
      </w:r>
      <w:r w:rsidR="002F3789">
        <w:rPr>
          <w:color w:val="E1001D"/>
        </w:rPr>
        <w:t>, as shown</w:t>
      </w:r>
      <w:r>
        <w:rPr>
          <w:color w:val="E1001D"/>
        </w:rPr>
        <w:t>.</w:t>
      </w:r>
    </w:p>
    <w:p w:rsidR="008E27A6" w:rsidRDefault="008E27A6" w:rsidP="00466EDA">
      <w:pPr>
        <w:pStyle w:val="ListParagraph"/>
        <w:numPr>
          <w:ilvl w:val="0"/>
          <w:numId w:val="1"/>
        </w:numPr>
        <w:rPr>
          <w:color w:val="E1001D"/>
        </w:rPr>
      </w:pPr>
      <w:r>
        <w:rPr>
          <w:color w:val="E1001D"/>
        </w:rPr>
        <w:t xml:space="preserve">Move the eyes and the large triangles around until you have a pleasing arrangement and then glue them in place. </w:t>
      </w:r>
    </w:p>
    <w:p w:rsidR="008E27A6" w:rsidRDefault="008E27A6" w:rsidP="00466EDA">
      <w:pPr>
        <w:pStyle w:val="ListParagraph"/>
        <w:numPr>
          <w:ilvl w:val="0"/>
          <w:numId w:val="1"/>
        </w:numPr>
        <w:rPr>
          <w:color w:val="E1001D"/>
        </w:rPr>
      </w:pPr>
      <w:r>
        <w:rPr>
          <w:color w:val="E1001D"/>
        </w:rPr>
        <w:t>Cut a small arrow shape and glue it over the orange and blue triangles, as shown.</w:t>
      </w:r>
    </w:p>
    <w:p w:rsidR="008E27A6" w:rsidRDefault="008E27A6" w:rsidP="00466EDA">
      <w:pPr>
        <w:pStyle w:val="ListParagraph"/>
        <w:numPr>
          <w:ilvl w:val="0"/>
          <w:numId w:val="1"/>
        </w:numPr>
        <w:rPr>
          <w:color w:val="E1001D"/>
        </w:rPr>
      </w:pPr>
      <w:r>
        <w:rPr>
          <w:color w:val="E1001D"/>
        </w:rPr>
        <w:t xml:space="preserve">Using the blue paper, cut two small, </w:t>
      </w:r>
      <w:proofErr w:type="gramStart"/>
      <w:r>
        <w:rPr>
          <w:color w:val="E1001D"/>
        </w:rPr>
        <w:t>tear-drop</w:t>
      </w:r>
      <w:proofErr w:type="gramEnd"/>
      <w:r>
        <w:rPr>
          <w:color w:val="E1001D"/>
        </w:rPr>
        <w:t xml:space="preserve"> shapes, approximately 1 ½” long and about 1” wide. Then cut two small, yellow teardrops that can fit inside the blue pieces, with a border showing. Glue these pieces together. Fold them in half, lengthwise and glue them to the owl, like “horns” on horned owls. Glue one side down, so that the other side sticks out, creating a 3-D effect.</w:t>
      </w:r>
    </w:p>
    <w:p w:rsidR="008E27A6" w:rsidRDefault="00FA28A7" w:rsidP="00466EDA">
      <w:pPr>
        <w:pStyle w:val="ListParagraph"/>
        <w:numPr>
          <w:ilvl w:val="0"/>
          <w:numId w:val="1"/>
        </w:numPr>
        <w:rPr>
          <w:color w:val="E1001D"/>
        </w:rPr>
      </w:pPr>
      <w:r>
        <w:rPr>
          <w:color w:val="E1001D"/>
        </w:rPr>
        <w:t xml:space="preserve">Take orange paper and cut a small </w:t>
      </w:r>
      <w:r w:rsidR="002F3789">
        <w:rPr>
          <w:color w:val="E1001D"/>
        </w:rPr>
        <w:t xml:space="preserve">shape, like a </w:t>
      </w:r>
      <w:proofErr w:type="spellStart"/>
      <w:r w:rsidR="002F3789">
        <w:rPr>
          <w:color w:val="E1001D"/>
        </w:rPr>
        <w:t>snowcone</w:t>
      </w:r>
      <w:proofErr w:type="spellEnd"/>
      <w:r>
        <w:rPr>
          <w:color w:val="E1001D"/>
        </w:rPr>
        <w:t>, approximately 2 ½” – 3” wide and 3” long. Fold it back and forth like a paper fan, and then unfold it again. With the paper folded in half, clip small triangles into the rounded edge.</w:t>
      </w:r>
    </w:p>
    <w:p w:rsidR="00FA28A7" w:rsidRDefault="00FA28A7" w:rsidP="00466EDA">
      <w:pPr>
        <w:pStyle w:val="ListParagraph"/>
        <w:numPr>
          <w:ilvl w:val="0"/>
          <w:numId w:val="1"/>
        </w:numPr>
        <w:rPr>
          <w:color w:val="E1001D"/>
        </w:rPr>
      </w:pPr>
      <w:r>
        <w:rPr>
          <w:color w:val="E1001D"/>
        </w:rPr>
        <w:t xml:space="preserve">Take blue paper and follow the directions in step 12, except the blue </w:t>
      </w:r>
      <w:r w:rsidR="002F3789">
        <w:rPr>
          <w:color w:val="E1001D"/>
        </w:rPr>
        <w:t>“</w:t>
      </w:r>
      <w:proofErr w:type="spellStart"/>
      <w:r w:rsidR="002F3789">
        <w:rPr>
          <w:color w:val="E1001D"/>
        </w:rPr>
        <w:t>snowcone</w:t>
      </w:r>
      <w:proofErr w:type="spellEnd"/>
      <w:r w:rsidR="002F3789">
        <w:rPr>
          <w:color w:val="E1001D"/>
        </w:rPr>
        <w:t xml:space="preserve">” </w:t>
      </w:r>
      <w:r>
        <w:rPr>
          <w:color w:val="E1001D"/>
        </w:rPr>
        <w:t xml:space="preserve">should be longer than the orange one. </w:t>
      </w:r>
    </w:p>
    <w:p w:rsidR="00FA28A7" w:rsidRDefault="00FA28A7" w:rsidP="00466EDA">
      <w:pPr>
        <w:pStyle w:val="ListParagraph"/>
        <w:numPr>
          <w:ilvl w:val="0"/>
          <w:numId w:val="1"/>
        </w:numPr>
        <w:rPr>
          <w:color w:val="E1001D"/>
        </w:rPr>
      </w:pPr>
      <w:r>
        <w:rPr>
          <w:color w:val="E1001D"/>
        </w:rPr>
        <w:t>Take red paper and cut out a red teardrop shape ab</w:t>
      </w:r>
      <w:r w:rsidR="002F3789">
        <w:rPr>
          <w:color w:val="E1001D"/>
        </w:rPr>
        <w:t>out 2” long and 2” wide at the fullest</w:t>
      </w:r>
      <w:r>
        <w:rPr>
          <w:color w:val="E1001D"/>
        </w:rPr>
        <w:t xml:space="preserve"> </w:t>
      </w:r>
      <w:r w:rsidR="002F3789">
        <w:rPr>
          <w:color w:val="E1001D"/>
        </w:rPr>
        <w:t>point. Then, cut a slit about ½” deep in the round end of the teardrop. Fold one edge under the other, to create a shallow cone shape. Rotate so that the point faces downward, like a beak, and attach to the owl. Loops of tape work best.</w:t>
      </w:r>
    </w:p>
    <w:p w:rsidR="002F3789" w:rsidRDefault="002F3789" w:rsidP="00466EDA">
      <w:pPr>
        <w:pStyle w:val="ListParagraph"/>
        <w:numPr>
          <w:ilvl w:val="0"/>
          <w:numId w:val="1"/>
        </w:numPr>
        <w:rPr>
          <w:color w:val="E1001D"/>
        </w:rPr>
      </w:pPr>
      <w:r>
        <w:rPr>
          <w:color w:val="E1001D"/>
        </w:rPr>
        <w:t xml:space="preserve">Attach the craft stick to the back of the owl with duct tape. </w:t>
      </w:r>
    </w:p>
    <w:p w:rsidR="002F3789" w:rsidRPr="00466EDA" w:rsidRDefault="002F3789" w:rsidP="00466EDA">
      <w:pPr>
        <w:pStyle w:val="ListParagraph"/>
        <w:numPr>
          <w:ilvl w:val="0"/>
          <w:numId w:val="1"/>
        </w:numPr>
        <w:rPr>
          <w:color w:val="E1001D"/>
        </w:rPr>
      </w:pPr>
      <w:r>
        <w:rPr>
          <w:color w:val="E1001D"/>
        </w:rPr>
        <w:t xml:space="preserve">Have a Bengali </w:t>
      </w:r>
      <w:proofErr w:type="spellStart"/>
      <w:r>
        <w:rPr>
          <w:color w:val="E1001D"/>
        </w:rPr>
        <w:t>Pohela</w:t>
      </w:r>
      <w:proofErr w:type="spellEnd"/>
      <w:r>
        <w:rPr>
          <w:color w:val="E1001D"/>
        </w:rPr>
        <w:t xml:space="preserve"> </w:t>
      </w:r>
      <w:proofErr w:type="spellStart"/>
      <w:r>
        <w:rPr>
          <w:color w:val="E1001D"/>
        </w:rPr>
        <w:t>Baishakh</w:t>
      </w:r>
      <w:proofErr w:type="spellEnd"/>
      <w:r>
        <w:rPr>
          <w:color w:val="E1001D"/>
        </w:rPr>
        <w:t xml:space="preserve"> parade!</w:t>
      </w:r>
      <w:bookmarkStart w:id="0" w:name="_GoBack"/>
      <w:bookmarkEnd w:id="0"/>
    </w:p>
    <w:p w:rsidR="00FF4724" w:rsidRPr="00FF4724" w:rsidRDefault="00FF4724">
      <w:pPr>
        <w:rPr>
          <w:color w:val="E1001D"/>
        </w:rPr>
      </w:pPr>
    </w:p>
    <w:p w:rsidR="00FF4724" w:rsidRDefault="00FF4724"/>
    <w:sectPr w:rsidR="00FF4724" w:rsidSect="002F48F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Quattrocento">
    <w:altName w:val="Cambria"/>
    <w:panose1 w:val="00000000000000000000"/>
    <w:charset w:val="00"/>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AC37CA5"/>
    <w:multiLevelType w:val="hybridMultilevel"/>
    <w:tmpl w:val="B57E20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724"/>
    <w:rsid w:val="000B7D85"/>
    <w:rsid w:val="00266CB5"/>
    <w:rsid w:val="002F3789"/>
    <w:rsid w:val="002F48FD"/>
    <w:rsid w:val="00466EDA"/>
    <w:rsid w:val="008E27A6"/>
    <w:rsid w:val="00FA28A7"/>
    <w:rsid w:val="00FF47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F51875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72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F472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F4724"/>
    <w:rPr>
      <w:rFonts w:ascii="Lucida Grande" w:hAnsi="Lucida Grande" w:cs="Lucida Grande"/>
      <w:sz w:val="18"/>
      <w:szCs w:val="18"/>
    </w:rPr>
  </w:style>
  <w:style w:type="paragraph" w:styleId="ListParagraph">
    <w:name w:val="List Paragraph"/>
    <w:basedOn w:val="Normal"/>
    <w:uiPriority w:val="34"/>
    <w:qFormat/>
    <w:rsid w:val="00466EDA"/>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72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F472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F4724"/>
    <w:rPr>
      <w:rFonts w:ascii="Lucida Grande" w:hAnsi="Lucida Grande" w:cs="Lucida Grande"/>
      <w:sz w:val="18"/>
      <w:szCs w:val="18"/>
    </w:rPr>
  </w:style>
  <w:style w:type="paragraph" w:styleId="ListParagraph">
    <w:name w:val="List Paragraph"/>
    <w:basedOn w:val="Normal"/>
    <w:uiPriority w:val="34"/>
    <w:qFormat/>
    <w:rsid w:val="00466ED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3</Pages>
  <Words>491</Words>
  <Characters>2800</Characters>
  <Application>Microsoft Macintosh Word</Application>
  <DocSecurity>0</DocSecurity>
  <Lines>23</Lines>
  <Paragraphs>6</Paragraphs>
  <ScaleCrop>false</ScaleCrop>
  <Company/>
  <LinksUpToDate>false</LinksUpToDate>
  <CharactersWithSpaces>3285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Grant Kang</dc:creator>
  <cp:keywords/>
  <dc:description/>
  <cp:lastModifiedBy>Grant Kang</cp:lastModifiedBy>
  <cp:revision>1</cp:revision>
  <dcterms:created xsi:type="dcterms:W3CDTF">2016-02-07T21:39:00Z</dcterms:created>
  <dcterms:modified xsi:type="dcterms:W3CDTF">2016-02-07T22:55:00Z</dcterms:modified>
</cp:coreProperties>
</file>